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2C6C" w14:textId="77777777" w:rsidR="009A20E4" w:rsidRDefault="009A20E4" w:rsidP="009A20E4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769A527A" w14:textId="77777777" w:rsidR="00352D79" w:rsidRDefault="009A20E4" w:rsidP="009A20E4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4586E11C" w14:textId="237FBD9F" w:rsidR="009A20E4" w:rsidRDefault="009A20E4" w:rsidP="009A20E4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276B9A6" w14:textId="77777777" w:rsidR="009A20E4" w:rsidRPr="00BD7A0A" w:rsidRDefault="009A20E4" w:rsidP="009A20E4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7FBD0445" w14:textId="77777777" w:rsidR="009A20E4" w:rsidRPr="00BD7A0A" w:rsidRDefault="009A20E4" w:rsidP="009A20E4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1159CBA6" w14:textId="77777777" w:rsidR="009A20E4" w:rsidRPr="00C64479" w:rsidRDefault="009A20E4" w:rsidP="009A20E4">
      <w:pPr>
        <w:pStyle w:val="BodyText"/>
        <w:ind w:left="0"/>
        <w:jc w:val="center"/>
      </w:pPr>
      <w:r w:rsidRPr="00C64479">
        <w:t>Practice of Simultaneous Translation</w:t>
      </w:r>
    </w:p>
    <w:p w14:paraId="247D7473" w14:textId="77777777" w:rsidR="000A6378" w:rsidRDefault="000A6378">
      <w:pPr>
        <w:pStyle w:val="BodyText"/>
        <w:ind w:left="0"/>
      </w:pPr>
    </w:p>
    <w:p w14:paraId="7BE92263" w14:textId="77777777" w:rsidR="000A6378" w:rsidRDefault="00000000">
      <w:pPr>
        <w:pStyle w:val="Heading1"/>
        <w:ind w:left="1707" w:right="1336"/>
        <w:jc w:val="center"/>
      </w:pPr>
      <w:r>
        <w:t>Lecture</w:t>
      </w:r>
      <w:r>
        <w:rPr>
          <w:spacing w:val="-3"/>
        </w:rPr>
        <w:t xml:space="preserve"> </w:t>
      </w:r>
      <w:r>
        <w:t>3</w:t>
      </w:r>
    </w:p>
    <w:p w14:paraId="39D91C29" w14:textId="77777777" w:rsidR="000A6378" w:rsidRDefault="000A6378">
      <w:pPr>
        <w:pStyle w:val="BodyText"/>
        <w:ind w:left="0"/>
        <w:rPr>
          <w:b/>
        </w:rPr>
      </w:pPr>
    </w:p>
    <w:p w14:paraId="591A35D2" w14:textId="77777777" w:rsidR="000A6378" w:rsidRDefault="00000000">
      <w:pPr>
        <w:ind w:left="46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 Studies</w:t>
      </w:r>
    </w:p>
    <w:p w14:paraId="5D8FACD4" w14:textId="77777777" w:rsidR="000A6378" w:rsidRDefault="00000000">
      <w:pPr>
        <w:pStyle w:val="Heading1"/>
        <w:spacing w:before="139"/>
      </w:pPr>
      <w:r>
        <w:t>Lecture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support</w:t>
      </w:r>
    </w:p>
    <w:p w14:paraId="6BE61E4D" w14:textId="77777777" w:rsidR="000A6378" w:rsidRDefault="000A6378">
      <w:pPr>
        <w:pStyle w:val="BodyText"/>
        <w:ind w:left="0"/>
        <w:rPr>
          <w:b/>
          <w:sz w:val="26"/>
        </w:rPr>
      </w:pPr>
    </w:p>
    <w:p w14:paraId="76254F47" w14:textId="77777777" w:rsidR="000A6378" w:rsidRDefault="000A6378">
      <w:pPr>
        <w:pStyle w:val="BodyText"/>
        <w:ind w:left="0"/>
        <w:rPr>
          <w:b/>
          <w:sz w:val="22"/>
        </w:rPr>
      </w:pPr>
    </w:p>
    <w:p w14:paraId="105F58CC" w14:textId="77777777" w:rsidR="000A6378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</w:t>
      </w:r>
    </w:p>
    <w:p w14:paraId="34DE4348" w14:textId="77777777" w:rsidR="000A637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4DC7EB56" w14:textId="77777777" w:rsidR="000A6378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</w:t>
      </w:r>
    </w:p>
    <w:p w14:paraId="099C1557" w14:textId="77777777" w:rsidR="000A637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Conclusion</w:t>
      </w:r>
    </w:p>
    <w:p w14:paraId="43EB6EF1" w14:textId="77777777" w:rsidR="000A6378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3A0BE034" w14:textId="77777777" w:rsidR="000A6378" w:rsidRDefault="000A6378">
      <w:pPr>
        <w:pStyle w:val="BodyText"/>
        <w:ind w:left="0"/>
        <w:rPr>
          <w:sz w:val="26"/>
        </w:rPr>
      </w:pPr>
    </w:p>
    <w:p w14:paraId="74A4FDC2" w14:textId="77777777" w:rsidR="000A6378" w:rsidRDefault="000A6378">
      <w:pPr>
        <w:pStyle w:val="BodyText"/>
        <w:ind w:left="0"/>
        <w:rPr>
          <w:sz w:val="22"/>
        </w:rPr>
      </w:pPr>
    </w:p>
    <w:p w14:paraId="78A7F7A1" w14:textId="77777777" w:rsidR="000A6378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5ED3DAF1" w14:textId="77777777" w:rsidR="000A637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Nonverbal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</w:p>
    <w:p w14:paraId="00832858" w14:textId="77777777" w:rsidR="000A6378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Morphological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nonverbal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</w:p>
    <w:p w14:paraId="42AF74D0" w14:textId="77777777" w:rsidR="000A637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nonverbal</w:t>
      </w:r>
    </w:p>
    <w:p w14:paraId="602115EB" w14:textId="77777777" w:rsidR="000A6378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Coordination</w:t>
      </w:r>
    </w:p>
    <w:p w14:paraId="7052D32D" w14:textId="77777777" w:rsidR="000A6378" w:rsidRDefault="000A6378">
      <w:pPr>
        <w:pStyle w:val="BodyText"/>
        <w:ind w:left="0"/>
        <w:rPr>
          <w:sz w:val="26"/>
        </w:rPr>
      </w:pPr>
    </w:p>
    <w:p w14:paraId="347C5A63" w14:textId="77777777" w:rsidR="000A6378" w:rsidRDefault="000A6378">
      <w:pPr>
        <w:pStyle w:val="BodyText"/>
        <w:ind w:left="0"/>
        <w:rPr>
          <w:sz w:val="22"/>
        </w:rPr>
      </w:pPr>
    </w:p>
    <w:p w14:paraId="21A4572B" w14:textId="77777777" w:rsidR="000A6378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38B0BFDF" w14:textId="77777777" w:rsidR="000A6378" w:rsidRDefault="00000000">
      <w:pPr>
        <w:pStyle w:val="ListParagraph"/>
        <w:numPr>
          <w:ilvl w:val="1"/>
          <w:numId w:val="2"/>
        </w:numPr>
        <w:tabs>
          <w:tab w:val="left" w:pos="703"/>
        </w:tabs>
        <w:spacing w:before="137"/>
        <w:ind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nonverbal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interpreting</w:t>
      </w:r>
    </w:p>
    <w:p w14:paraId="6FBDB124" w14:textId="77777777" w:rsidR="000A6378" w:rsidRDefault="00000000">
      <w:pPr>
        <w:pStyle w:val="ListParagraph"/>
        <w:numPr>
          <w:ilvl w:val="1"/>
          <w:numId w:val="2"/>
        </w:numPr>
        <w:tabs>
          <w:tab w:val="left" w:pos="703"/>
        </w:tabs>
        <w:spacing w:before="140"/>
        <w:ind w:hanging="241"/>
        <w:rPr>
          <w:sz w:val="24"/>
        </w:rPr>
      </w:pPr>
      <w:r>
        <w:rPr>
          <w:sz w:val="24"/>
        </w:rPr>
        <w:t>Introduce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and subjects involved to</w:t>
      </w:r>
      <w:r>
        <w:rPr>
          <w:spacing w:val="-1"/>
          <w:sz w:val="24"/>
        </w:rPr>
        <w:t xml:space="preserve"> </w:t>
      </w:r>
      <w:r>
        <w:rPr>
          <w:sz w:val="24"/>
        </w:rPr>
        <w:t>CS</w:t>
      </w:r>
    </w:p>
    <w:p w14:paraId="5B4197D4" w14:textId="77777777" w:rsidR="000A6378" w:rsidRDefault="00000000">
      <w:pPr>
        <w:pStyle w:val="ListParagraph"/>
        <w:numPr>
          <w:ilvl w:val="1"/>
          <w:numId w:val="2"/>
        </w:numPr>
        <w:tabs>
          <w:tab w:val="left" w:pos="703"/>
        </w:tabs>
        <w:spacing w:before="136"/>
        <w:ind w:hanging="241"/>
        <w:rPr>
          <w:sz w:val="24"/>
        </w:rPr>
      </w:pPr>
      <w:r>
        <w:rPr>
          <w:sz w:val="24"/>
        </w:rPr>
        <w:t>Familiarize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 categories</w:t>
      </w:r>
    </w:p>
    <w:p w14:paraId="7E6A937A" w14:textId="77777777" w:rsidR="000A6378" w:rsidRDefault="00000000">
      <w:pPr>
        <w:pStyle w:val="ListParagraph"/>
        <w:numPr>
          <w:ilvl w:val="1"/>
          <w:numId w:val="2"/>
        </w:numPr>
        <w:tabs>
          <w:tab w:val="left" w:pos="703"/>
        </w:tabs>
        <w:spacing w:before="140"/>
        <w:ind w:hanging="241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 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14:paraId="59A8AC00" w14:textId="77777777" w:rsidR="000A6378" w:rsidRDefault="000A6378">
      <w:pPr>
        <w:pStyle w:val="BodyText"/>
        <w:ind w:left="0"/>
        <w:rPr>
          <w:sz w:val="26"/>
        </w:rPr>
      </w:pPr>
    </w:p>
    <w:p w14:paraId="36DB5F6E" w14:textId="77777777" w:rsidR="000A6378" w:rsidRDefault="000A6378">
      <w:pPr>
        <w:pStyle w:val="BodyText"/>
        <w:ind w:left="0"/>
        <w:rPr>
          <w:sz w:val="22"/>
        </w:rPr>
      </w:pPr>
    </w:p>
    <w:p w14:paraId="18E8DA3A" w14:textId="77777777" w:rsidR="000A6378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38089FB0" w14:textId="77777777" w:rsidR="000A6378" w:rsidRDefault="00000000">
      <w:pPr>
        <w:pStyle w:val="BodyText"/>
        <w:spacing w:before="137"/>
      </w:pPr>
      <w:r>
        <w:t>Nonverbal</w:t>
      </w:r>
      <w:r>
        <w:rPr>
          <w:spacing w:val="-2"/>
        </w:rPr>
        <w:t xml:space="preserve"> </w:t>
      </w:r>
      <w:r>
        <w:t>communication,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input,</w:t>
      </w:r>
      <w:r>
        <w:rPr>
          <w:spacing w:val="-2"/>
        </w:rPr>
        <w:t xml:space="preserve"> </w:t>
      </w:r>
      <w:r>
        <w:t>nonverbal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proofErr w:type="gramStart"/>
      <w:r>
        <w:t>and etc.</w:t>
      </w:r>
      <w:proofErr w:type="gramEnd"/>
    </w:p>
    <w:p w14:paraId="3DE2FAC1" w14:textId="77777777" w:rsidR="000A6378" w:rsidRDefault="000A6378">
      <w:pPr>
        <w:pStyle w:val="BodyText"/>
        <w:ind w:left="0"/>
        <w:rPr>
          <w:sz w:val="26"/>
        </w:rPr>
      </w:pPr>
    </w:p>
    <w:p w14:paraId="47BA9375" w14:textId="77777777" w:rsidR="000A6378" w:rsidRDefault="000A6378">
      <w:pPr>
        <w:pStyle w:val="BodyText"/>
        <w:ind w:left="0"/>
        <w:rPr>
          <w:sz w:val="22"/>
        </w:rPr>
      </w:pPr>
    </w:p>
    <w:p w14:paraId="5BB7C512" w14:textId="77777777" w:rsidR="000A6378" w:rsidRDefault="00000000">
      <w:pPr>
        <w:pStyle w:val="BodyText"/>
        <w:spacing w:line="360" w:lineRule="auto"/>
        <w:ind w:right="156"/>
      </w:pPr>
      <w:r>
        <w:t>Oral communication, the working tool of the interpreter, consists not only of what is said, but</w:t>
      </w:r>
      <w:r>
        <w:rPr>
          <w:spacing w:val="1"/>
        </w:rPr>
        <w:t xml:space="preserve"> </w:t>
      </w:r>
      <w:r>
        <w:t>also how it is said – with a sullen face and an irritated tone of voice, or with a smile and a nod.</w:t>
      </w:r>
      <w:r>
        <w:rPr>
          <w:spacing w:val="1"/>
        </w:rPr>
        <w:t xml:space="preserve"> </w:t>
      </w:r>
      <w:proofErr w:type="spellStart"/>
      <w:r>
        <w:t>Poyatos</w:t>
      </w:r>
      <w:proofErr w:type="spellEnd"/>
      <w:r>
        <w:t xml:space="preserve"> (1997b: 259) describes oral communication as follows: […] trying to be simply realistic</w:t>
      </w:r>
      <w:r>
        <w:rPr>
          <w:spacing w:val="-57"/>
        </w:rPr>
        <w:t xml:space="preserve"> </w:t>
      </w:r>
      <w:r>
        <w:t xml:space="preserve">in our approach to speech, we must recognize that what has been called orality is produced </w:t>
      </w:r>
      <w:proofErr w:type="gramStart"/>
      <w:r>
        <w:t>in</w:t>
      </w:r>
      <w:r>
        <w:rPr>
          <w:spacing w:val="1"/>
        </w:rPr>
        <w:t xml:space="preserve"> </w:t>
      </w:r>
      <w:r>
        <w:t>reality</w:t>
      </w:r>
      <w:r>
        <w:rPr>
          <w:spacing w:val="-1"/>
        </w:rPr>
        <w:t xml:space="preserve"> </w:t>
      </w:r>
      <w:r>
        <w:t>in</w:t>
      </w:r>
      <w:proofErr w:type="gramEnd"/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manner through</w:t>
      </w:r>
      <w:r>
        <w:rPr>
          <w:spacing w:val="-1"/>
        </w:rPr>
        <w:t xml:space="preserve"> </w:t>
      </w:r>
      <w:r>
        <w:t>the combination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(phonetic)</w:t>
      </w:r>
      <w:r>
        <w:rPr>
          <w:spacing w:val="-1"/>
        </w:rPr>
        <w:t xml:space="preserve"> </w:t>
      </w:r>
      <w:r>
        <w:t>articulations</w:t>
      </w:r>
    </w:p>
    <w:p w14:paraId="34102E03" w14:textId="77777777" w:rsidR="000A6378" w:rsidRDefault="000A6378">
      <w:pPr>
        <w:spacing w:line="360" w:lineRule="auto"/>
        <w:sectPr w:rsidR="000A6378">
          <w:type w:val="continuous"/>
          <w:pgSz w:w="11910" w:h="16840"/>
          <w:pgMar w:top="1040" w:right="760" w:bottom="280" w:left="1240" w:header="720" w:footer="720" w:gutter="0"/>
          <w:cols w:space="720"/>
        </w:sectPr>
      </w:pPr>
    </w:p>
    <w:p w14:paraId="6BC20733" w14:textId="77777777" w:rsidR="000A6378" w:rsidRDefault="00000000">
      <w:pPr>
        <w:pStyle w:val="BodyText"/>
        <w:spacing w:before="73" w:line="360" w:lineRule="auto"/>
        <w:ind w:right="144"/>
      </w:pPr>
      <w:r>
        <w:lastRenderedPageBreak/>
        <w:t>and sound modifications, and external articulations that depend on our facial and bodily</w:t>
      </w:r>
      <w:r>
        <w:rPr>
          <w:spacing w:val="1"/>
        </w:rPr>
        <w:t xml:space="preserve"> </w:t>
      </w:r>
      <w:r>
        <w:t>anatomy. Oral communication is, in fact, the combination of three elements that act together to</w:t>
      </w:r>
      <w:r>
        <w:rPr>
          <w:spacing w:val="1"/>
        </w:rPr>
        <w:t xml:space="preserve"> </w:t>
      </w:r>
      <w:r>
        <w:t>facilitate the process of communication – verbal language, paralanguage (pitch, intonation,</w:t>
      </w:r>
      <w:r>
        <w:rPr>
          <w:spacing w:val="1"/>
        </w:rPr>
        <w:t xml:space="preserve"> </w:t>
      </w:r>
      <w:r>
        <w:t>pauses, volume, etc.) and kinesics (</w:t>
      </w:r>
      <w:proofErr w:type="spellStart"/>
      <w:r>
        <w:t>Poyatos</w:t>
      </w:r>
      <w:proofErr w:type="spellEnd"/>
      <w:r>
        <w:t xml:space="preserve"> 1987). These elements can occur individually or in</w:t>
      </w:r>
      <w:r>
        <w:rPr>
          <w:spacing w:val="1"/>
        </w:rPr>
        <w:t xml:space="preserve"> </w:t>
      </w:r>
      <w:r>
        <w:t xml:space="preserve">different combinations, fulfilling </w:t>
      </w:r>
      <w:proofErr w:type="gramStart"/>
      <w:r>
        <w:t>a number of</w:t>
      </w:r>
      <w:proofErr w:type="gramEnd"/>
      <w:r>
        <w:t xml:space="preserve"> different functions. The entire gamut of visual</w:t>
      </w:r>
      <w:r>
        <w:rPr>
          <w:spacing w:val="1"/>
        </w:rPr>
        <w:t xml:space="preserve"> </w:t>
      </w:r>
      <w:r>
        <w:t>nonverbal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encompasses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kinesics</w:t>
      </w:r>
      <w:r>
        <w:rPr>
          <w:spacing w:val="-1"/>
        </w:rPr>
        <w:t xml:space="preserve"> </w:t>
      </w:r>
      <w:r>
        <w:t>(gestures,</w:t>
      </w:r>
      <w:r>
        <w:rPr>
          <w:spacing w:val="1"/>
        </w:rPr>
        <w:t xml:space="preserve"> </w:t>
      </w:r>
      <w:r>
        <w:t>facial</w:t>
      </w:r>
      <w:r>
        <w:rPr>
          <w:spacing w:val="1"/>
        </w:rPr>
        <w:t xml:space="preserve"> </w:t>
      </w:r>
      <w:r>
        <w:t>expressions,</w:t>
      </w:r>
      <w:r>
        <w:rPr>
          <w:spacing w:val="-1"/>
        </w:rPr>
        <w:t xml:space="preserve"> </w:t>
      </w:r>
      <w:r>
        <w:t>gaze</w:t>
      </w:r>
      <w:r>
        <w:rPr>
          <w:spacing w:val="1"/>
        </w:rPr>
        <w:t xml:space="preserve"> </w:t>
      </w:r>
      <w:r>
        <w:t>direction), but also proxemics (interpersonal distance), cultural and social traits (clothing,</w:t>
      </w:r>
      <w:r>
        <w:rPr>
          <w:spacing w:val="1"/>
        </w:rPr>
        <w:t xml:space="preserve"> </w:t>
      </w:r>
      <w:r>
        <w:t>socially determined behavior) and certain visible physiological reactions (such as blushing or</w:t>
      </w:r>
      <w:r>
        <w:rPr>
          <w:spacing w:val="1"/>
        </w:rPr>
        <w:t xml:space="preserve"> </w:t>
      </w:r>
      <w:r>
        <w:t>tear-shedding), since they, too, convey a message (</w:t>
      </w:r>
      <w:proofErr w:type="spellStart"/>
      <w:r>
        <w:t>Poyatos</w:t>
      </w:r>
      <w:proofErr w:type="spellEnd"/>
      <w:r>
        <w:t xml:space="preserve"> 1997b). Nonverbal communication</w:t>
      </w:r>
      <w:r>
        <w:rPr>
          <w:spacing w:val="1"/>
        </w:rPr>
        <w:t xml:space="preserve"> </w:t>
      </w:r>
      <w:r>
        <w:t>signals always convey information, but this sending is usually not deliberate or fully controlled</w:t>
      </w:r>
      <w:r>
        <w:rPr>
          <w:spacing w:val="1"/>
        </w:rPr>
        <w:t xml:space="preserve"> </w:t>
      </w:r>
      <w:r>
        <w:t>by the sender, and the information is usually also not received or decoded consciously by the</w:t>
      </w:r>
      <w:r>
        <w:rPr>
          <w:spacing w:val="1"/>
        </w:rPr>
        <w:t xml:space="preserve"> </w:t>
      </w:r>
      <w:r>
        <w:t xml:space="preserve">recipient (Argyle 2002, </w:t>
      </w:r>
      <w:proofErr w:type="spellStart"/>
      <w:r>
        <w:t>Bühler</w:t>
      </w:r>
      <w:proofErr w:type="spellEnd"/>
      <w:r>
        <w:t xml:space="preserve"> 1985, Scherer [1977]/1984). This may account for the difficulties</w:t>
      </w:r>
      <w:r>
        <w:rPr>
          <w:spacing w:val="-57"/>
        </w:rPr>
        <w:t xml:space="preserve"> </w:t>
      </w:r>
      <w:r>
        <w:t xml:space="preserve">interpreters have when asked which signals aid their task most, </w:t>
      </w:r>
      <w:proofErr w:type="gramStart"/>
      <w:r>
        <w:t>and also</w:t>
      </w:r>
      <w:proofErr w:type="gramEnd"/>
      <w:r>
        <w:t xml:space="preserve"> makes research in this</w:t>
      </w:r>
      <w:r>
        <w:rPr>
          <w:spacing w:val="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 xml:space="preserve">difficult (cf. </w:t>
      </w:r>
      <w:proofErr w:type="spellStart"/>
      <w:r>
        <w:t>Bühler</w:t>
      </w:r>
      <w:proofErr w:type="spellEnd"/>
      <w:r>
        <w:t xml:space="preserve"> 1985).</w:t>
      </w:r>
    </w:p>
    <w:p w14:paraId="0D9B0EC4" w14:textId="77777777" w:rsidR="000A6378" w:rsidRDefault="00000000">
      <w:pPr>
        <w:pStyle w:val="BodyText"/>
        <w:spacing w:before="2" w:line="360" w:lineRule="auto"/>
        <w:ind w:right="151"/>
      </w:pPr>
      <w:r>
        <w:t>While paralanguage is an important aspect of nonverbal communication – in fact, oral</w:t>
      </w:r>
      <w:r>
        <w:rPr>
          <w:spacing w:val="1"/>
        </w:rPr>
        <w:t xml:space="preserve"> </w:t>
      </w:r>
      <w:r>
        <w:t>communication cannot occur completely without it – it is also that part of nonverbal</w:t>
      </w:r>
      <w:r>
        <w:rPr>
          <w:spacing w:val="1"/>
        </w:rPr>
        <w:t xml:space="preserve"> </w:t>
      </w:r>
      <w:r>
        <w:t>communication that is accessible to the interpreter even when he is deprived of visual input. It</w:t>
      </w:r>
      <w:r>
        <w:rPr>
          <w:spacing w:val="1"/>
        </w:rPr>
        <w:t xml:space="preserve"> </w:t>
      </w:r>
      <w:r>
        <w:t xml:space="preserve">may also often be the only way for the interpreter to convey what has been expressed </w:t>
      </w:r>
      <w:proofErr w:type="spellStart"/>
      <w:r>
        <w:t>kinesically</w:t>
      </w:r>
      <w:proofErr w:type="spellEnd"/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speaker.</w:t>
      </w:r>
    </w:p>
    <w:p w14:paraId="10922396" w14:textId="77777777" w:rsidR="000A6378" w:rsidRDefault="00000000">
      <w:pPr>
        <w:pStyle w:val="BodyText"/>
        <w:spacing w:before="2" w:line="360" w:lineRule="auto"/>
        <w:ind w:right="343"/>
      </w:pPr>
      <w:r>
        <w:t>Some forms of visual nonverbal communication (e.g., clothing, blushing) provide contextual</w:t>
      </w:r>
      <w:r>
        <w:rPr>
          <w:spacing w:val="1"/>
        </w:rPr>
        <w:t xml:space="preserve"> </w:t>
      </w:r>
      <w:r>
        <w:t>information rather than a message that would have to be interpreted. When we think of visual</w:t>
      </w:r>
      <w:r>
        <w:rPr>
          <w:spacing w:val="1"/>
        </w:rPr>
        <w:t xml:space="preserve"> </w:t>
      </w:r>
      <w:r>
        <w:t>nonverbal communication in the context of interpreting, however, we usually refer to body</w:t>
      </w:r>
      <w:r>
        <w:rPr>
          <w:spacing w:val="1"/>
        </w:rPr>
        <w:t xml:space="preserve"> </w:t>
      </w:r>
      <w:r>
        <w:t xml:space="preserve">language, or kinesics, defined by </w:t>
      </w:r>
      <w:proofErr w:type="spellStart"/>
      <w:r>
        <w:t>Poyatos</w:t>
      </w:r>
      <w:proofErr w:type="spellEnd"/>
      <w:r>
        <w:t xml:space="preserve"> (1987: 88f) as the conscious or unconscious psycho-</w:t>
      </w:r>
      <w:r>
        <w:rPr>
          <w:spacing w:val="-57"/>
        </w:rPr>
        <w:t xml:space="preserve"> </w:t>
      </w:r>
      <w:r>
        <w:t>muscularly based body movements and intervening or resulting positions, either learned or</w:t>
      </w:r>
      <w:r>
        <w:rPr>
          <w:spacing w:val="1"/>
        </w:rPr>
        <w:t xml:space="preserve"> </w:t>
      </w:r>
      <w:r>
        <w:t>somatogenic, of visual, visual-audible, and tactile or kinesthetic perception, which, whether</w:t>
      </w:r>
      <w:r>
        <w:rPr>
          <w:spacing w:val="1"/>
        </w:rPr>
        <w:t xml:space="preserve"> </w:t>
      </w:r>
      <w:r>
        <w:t>isolated or combined with the linguistic and paralinguistic structures and with other somatic or</w:t>
      </w:r>
      <w:r>
        <w:rPr>
          <w:spacing w:val="-57"/>
        </w:rPr>
        <w:t xml:space="preserve"> </w:t>
      </w:r>
      <w:r>
        <w:t>objectual</w:t>
      </w:r>
      <w:r>
        <w:rPr>
          <w:spacing w:val="-1"/>
        </w:rPr>
        <w:t xml:space="preserve"> </w:t>
      </w:r>
      <w:r>
        <w:t>behavioral systems, possess</w:t>
      </w:r>
      <w:r>
        <w:rPr>
          <w:spacing w:val="-1"/>
        </w:rPr>
        <w:t xml:space="preserve"> </w:t>
      </w:r>
      <w:r>
        <w:t>intended or unintended communicative</w:t>
      </w:r>
      <w:r>
        <w:rPr>
          <w:spacing w:val="-2"/>
        </w:rPr>
        <w:t xml:space="preserve"> </w:t>
      </w:r>
      <w:r>
        <w:t>value.</w:t>
      </w:r>
    </w:p>
    <w:p w14:paraId="516BF5AD" w14:textId="77777777" w:rsidR="000A6378" w:rsidRDefault="000A6378">
      <w:pPr>
        <w:pStyle w:val="BodyText"/>
        <w:spacing w:before="11"/>
        <w:ind w:left="0"/>
        <w:rPr>
          <w:sz w:val="35"/>
        </w:rPr>
      </w:pPr>
    </w:p>
    <w:p w14:paraId="35BCD2ED" w14:textId="77777777" w:rsidR="000A6378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27F4A936" w14:textId="77777777" w:rsidR="000A6378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nonverbal 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</w:p>
    <w:p w14:paraId="700C51A8" w14:textId="77777777" w:rsidR="000A6378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 between</w:t>
      </w:r>
      <w:r>
        <w:rPr>
          <w:spacing w:val="-1"/>
          <w:sz w:val="24"/>
        </w:rPr>
        <w:t xml:space="preserve"> </w:t>
      </w:r>
      <w:r>
        <w:rPr>
          <w:sz w:val="24"/>
        </w:rPr>
        <w:t>short term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proofErr w:type="gramEnd"/>
      <w:r>
        <w:rPr>
          <w:sz w:val="24"/>
        </w:rPr>
        <w:t xml:space="preserve"> memory</w:t>
      </w:r>
    </w:p>
    <w:p w14:paraId="23A5A074" w14:textId="77777777" w:rsidR="000A6378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categories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240956BD" w14:textId="77777777" w:rsidR="000A6378" w:rsidRDefault="000A6378">
      <w:pPr>
        <w:rPr>
          <w:sz w:val="24"/>
        </w:rPr>
        <w:sectPr w:rsidR="000A6378">
          <w:pgSz w:w="11910" w:h="16840"/>
          <w:pgMar w:top="1040" w:right="760" w:bottom="280" w:left="1240" w:header="720" w:footer="720" w:gutter="0"/>
          <w:cols w:space="720"/>
        </w:sectPr>
      </w:pPr>
    </w:p>
    <w:p w14:paraId="155146E9" w14:textId="77777777" w:rsidR="000A6378" w:rsidRDefault="00000000">
      <w:pPr>
        <w:pStyle w:val="Heading1"/>
        <w:spacing w:before="73"/>
      </w:pPr>
      <w:r>
        <w:lastRenderedPageBreak/>
        <w:t>References</w:t>
      </w:r>
    </w:p>
    <w:p w14:paraId="6A1A1F99" w14:textId="77777777" w:rsidR="000A637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40" w:line="360" w:lineRule="auto"/>
        <w:ind w:right="318" w:firstLine="0"/>
        <w:rPr>
          <w:sz w:val="24"/>
        </w:rPr>
      </w:pPr>
      <w:r>
        <w:rPr>
          <w:sz w:val="24"/>
        </w:rPr>
        <w:t xml:space="preserve">Alonso </w:t>
      </w:r>
      <w:proofErr w:type="spellStart"/>
      <w:r>
        <w:rPr>
          <w:sz w:val="24"/>
        </w:rPr>
        <w:t>Bacigalupe</w:t>
      </w:r>
      <w:proofErr w:type="spellEnd"/>
      <w:r>
        <w:rPr>
          <w:sz w:val="24"/>
        </w:rPr>
        <w:t>, L. (1999): “Visual Contact in Simultaneous Interpretation: Results of an</w:t>
      </w:r>
      <w:r>
        <w:rPr>
          <w:spacing w:val="-57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Study,”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ÁLVAREZ</w:t>
      </w:r>
      <w:r>
        <w:rPr>
          <w:spacing w:val="-2"/>
          <w:sz w:val="24"/>
        </w:rPr>
        <w:t xml:space="preserve"> </w:t>
      </w:r>
      <w:r>
        <w:rPr>
          <w:sz w:val="24"/>
        </w:rPr>
        <w:t>LUGRÍS,</w:t>
      </w:r>
      <w:r>
        <w:rPr>
          <w:spacing w:val="-1"/>
          <w:sz w:val="24"/>
        </w:rPr>
        <w:t xml:space="preserve"> </w:t>
      </w:r>
      <w:r>
        <w:rPr>
          <w:sz w:val="24"/>
        </w:rPr>
        <w:t>A. and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FERNÁNDEZ</w:t>
      </w:r>
      <w:r>
        <w:rPr>
          <w:spacing w:val="-1"/>
          <w:sz w:val="24"/>
        </w:rPr>
        <w:t xml:space="preserve"> </w:t>
      </w:r>
      <w:r>
        <w:rPr>
          <w:sz w:val="24"/>
        </w:rPr>
        <w:t>OCAMPO</w:t>
      </w:r>
      <w:r>
        <w:rPr>
          <w:spacing w:val="-2"/>
          <w:sz w:val="24"/>
        </w:rPr>
        <w:t xml:space="preserve"> </w:t>
      </w:r>
      <w:r>
        <w:rPr>
          <w:sz w:val="24"/>
        </w:rPr>
        <w:t>(eds.),</w:t>
      </w:r>
    </w:p>
    <w:p w14:paraId="073B3150" w14:textId="77777777" w:rsidR="000A6378" w:rsidRDefault="00000000">
      <w:pPr>
        <w:pStyle w:val="BodyText"/>
        <w:spacing w:line="360" w:lineRule="auto"/>
        <w:ind w:right="90"/>
      </w:pPr>
      <w:proofErr w:type="spellStart"/>
      <w:r>
        <w:t>Anovar</w:t>
      </w:r>
      <w:proofErr w:type="spellEnd"/>
      <w:r>
        <w:t>/</w:t>
      </w:r>
      <w:proofErr w:type="spellStart"/>
      <w:r>
        <w:t>anosar</w:t>
      </w:r>
      <w:proofErr w:type="spellEnd"/>
      <w:r>
        <w:t xml:space="preserve">. </w:t>
      </w:r>
      <w:proofErr w:type="spellStart"/>
      <w:r>
        <w:t>Estudios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e </w:t>
      </w:r>
      <w:proofErr w:type="spellStart"/>
      <w:r>
        <w:t>interpretación</w:t>
      </w:r>
      <w:proofErr w:type="spellEnd"/>
      <w:r>
        <w:t xml:space="preserve"> (Volume 1), Vigo, </w:t>
      </w:r>
      <w:proofErr w:type="spellStart"/>
      <w:r>
        <w:t>Universidade</w:t>
      </w:r>
      <w:proofErr w:type="spellEnd"/>
      <w:r>
        <w:t xml:space="preserve"> de Vigo,</w:t>
      </w:r>
      <w:r>
        <w:rPr>
          <w:spacing w:val="-58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123-137.</w:t>
      </w:r>
    </w:p>
    <w:p w14:paraId="04DF7FCA" w14:textId="77777777" w:rsidR="000A637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right="361" w:firstLine="0"/>
        <w:rPr>
          <w:sz w:val="24"/>
        </w:rPr>
      </w:pPr>
      <w:r>
        <w:rPr>
          <w:sz w:val="24"/>
        </w:rPr>
        <w:t>Anderson, L. (1994): “Simultaneous Interpretation: Contextual and Translation Aspects,” in</w:t>
      </w:r>
      <w:r>
        <w:rPr>
          <w:spacing w:val="-57"/>
          <w:sz w:val="24"/>
        </w:rPr>
        <w:t xml:space="preserve"> </w:t>
      </w:r>
      <w:r>
        <w:rPr>
          <w:sz w:val="24"/>
        </w:rPr>
        <w:t>LAMBERT, S. and B. MOSER-MERCER (eds.), Bridging the Gap: Empirical research in</w:t>
      </w:r>
      <w:r>
        <w:rPr>
          <w:spacing w:val="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interpretation, Amsterdam, Benjamins, pp. 101-120.</w:t>
      </w:r>
    </w:p>
    <w:p w14:paraId="0D3624EE" w14:textId="77777777" w:rsidR="000A637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right="430" w:firstLine="0"/>
        <w:rPr>
          <w:sz w:val="24"/>
        </w:rPr>
      </w:pPr>
      <w:r>
        <w:rPr>
          <w:sz w:val="24"/>
        </w:rPr>
        <w:t xml:space="preserve">Argyle, M. (2002): </w:t>
      </w:r>
      <w:proofErr w:type="spellStart"/>
      <w:r>
        <w:rPr>
          <w:sz w:val="24"/>
        </w:rPr>
        <w:t>Körpersprache</w:t>
      </w:r>
      <w:proofErr w:type="spellEnd"/>
      <w:r>
        <w:rPr>
          <w:sz w:val="24"/>
        </w:rPr>
        <w:t xml:space="preserve"> und </w:t>
      </w:r>
      <w:proofErr w:type="spellStart"/>
      <w:r>
        <w:rPr>
          <w:sz w:val="24"/>
        </w:rPr>
        <w:t>Kommunikation</w:t>
      </w:r>
      <w:proofErr w:type="spellEnd"/>
      <w:r>
        <w:rPr>
          <w:sz w:val="24"/>
        </w:rPr>
        <w:t xml:space="preserve">. Das </w:t>
      </w:r>
      <w:proofErr w:type="spellStart"/>
      <w:r>
        <w:rPr>
          <w:sz w:val="24"/>
        </w:rPr>
        <w:t>Handbuch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nonverbalen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Kommunikation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german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transl.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SCHMIDT,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Aufl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Reihe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Innovative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Psychotherapie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Humanwissenschaften</w:t>
      </w:r>
      <w:proofErr w:type="spellEnd"/>
      <w:r>
        <w:rPr>
          <w:sz w:val="24"/>
        </w:rPr>
        <w:t xml:space="preserve"> 5),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Paderborn, </w:t>
      </w:r>
      <w:proofErr w:type="spellStart"/>
      <w:r>
        <w:rPr>
          <w:sz w:val="24"/>
        </w:rPr>
        <w:t>Junfermann</w:t>
      </w:r>
      <w:proofErr w:type="spellEnd"/>
      <w:r>
        <w:rPr>
          <w:sz w:val="24"/>
        </w:rPr>
        <w:t>.</w:t>
      </w:r>
    </w:p>
    <w:sectPr w:rsidR="000A6378">
      <w:pgSz w:w="11910" w:h="16840"/>
      <w:pgMar w:top="104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7A34"/>
    <w:multiLevelType w:val="hybridMultilevel"/>
    <w:tmpl w:val="FA4E2102"/>
    <w:lvl w:ilvl="0" w:tplc="B58EC1A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10742E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9DAF85A">
      <w:numFmt w:val="bullet"/>
      <w:lvlText w:val="•"/>
      <w:lvlJc w:val="left"/>
      <w:pPr>
        <w:ind w:left="2349" w:hanging="240"/>
      </w:pPr>
      <w:rPr>
        <w:rFonts w:hint="default"/>
        <w:lang w:val="en-US" w:eastAsia="en-US" w:bidi="ar-SA"/>
      </w:rPr>
    </w:lvl>
    <w:lvl w:ilvl="3" w:tplc="30FA47EA">
      <w:numFmt w:val="bullet"/>
      <w:lvlText w:val="•"/>
      <w:lvlJc w:val="left"/>
      <w:pPr>
        <w:ind w:left="3293" w:hanging="240"/>
      </w:pPr>
      <w:rPr>
        <w:rFonts w:hint="default"/>
        <w:lang w:val="en-US" w:eastAsia="en-US" w:bidi="ar-SA"/>
      </w:rPr>
    </w:lvl>
    <w:lvl w:ilvl="4" w:tplc="53903D38">
      <w:numFmt w:val="bullet"/>
      <w:lvlText w:val="•"/>
      <w:lvlJc w:val="left"/>
      <w:pPr>
        <w:ind w:left="4238" w:hanging="240"/>
      </w:pPr>
      <w:rPr>
        <w:rFonts w:hint="default"/>
        <w:lang w:val="en-US" w:eastAsia="en-US" w:bidi="ar-SA"/>
      </w:rPr>
    </w:lvl>
    <w:lvl w:ilvl="5" w:tplc="1B308794">
      <w:numFmt w:val="bullet"/>
      <w:lvlText w:val="•"/>
      <w:lvlJc w:val="left"/>
      <w:pPr>
        <w:ind w:left="5183" w:hanging="240"/>
      </w:pPr>
      <w:rPr>
        <w:rFonts w:hint="default"/>
        <w:lang w:val="en-US" w:eastAsia="en-US" w:bidi="ar-SA"/>
      </w:rPr>
    </w:lvl>
    <w:lvl w:ilvl="6" w:tplc="E2CEB598">
      <w:numFmt w:val="bullet"/>
      <w:lvlText w:val="•"/>
      <w:lvlJc w:val="left"/>
      <w:pPr>
        <w:ind w:left="6127" w:hanging="240"/>
      </w:pPr>
      <w:rPr>
        <w:rFonts w:hint="default"/>
        <w:lang w:val="en-US" w:eastAsia="en-US" w:bidi="ar-SA"/>
      </w:rPr>
    </w:lvl>
    <w:lvl w:ilvl="7" w:tplc="064AC6D8">
      <w:numFmt w:val="bullet"/>
      <w:lvlText w:val="•"/>
      <w:lvlJc w:val="left"/>
      <w:pPr>
        <w:ind w:left="7072" w:hanging="240"/>
      </w:pPr>
      <w:rPr>
        <w:rFonts w:hint="default"/>
        <w:lang w:val="en-US" w:eastAsia="en-US" w:bidi="ar-SA"/>
      </w:rPr>
    </w:lvl>
    <w:lvl w:ilvl="8" w:tplc="BEFA1016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A6B5DDD"/>
    <w:multiLevelType w:val="hybridMultilevel"/>
    <w:tmpl w:val="47B42E7E"/>
    <w:lvl w:ilvl="0" w:tplc="ECCE35F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DB654E6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640A303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751C16D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77CC6AD2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5EB0F92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35C666C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4B14BEA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CE4E114E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0D36D6"/>
    <w:multiLevelType w:val="hybridMultilevel"/>
    <w:tmpl w:val="EC7E5C2C"/>
    <w:lvl w:ilvl="0" w:tplc="5C98BF6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A2D542">
      <w:start w:val="1"/>
      <w:numFmt w:val="decimal"/>
      <w:lvlText w:val="%2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AFAF658">
      <w:numFmt w:val="bullet"/>
      <w:lvlText w:val="•"/>
      <w:lvlJc w:val="left"/>
      <w:pPr>
        <w:ind w:left="1722" w:hanging="240"/>
      </w:pPr>
      <w:rPr>
        <w:rFonts w:hint="default"/>
        <w:lang w:val="en-US" w:eastAsia="en-US" w:bidi="ar-SA"/>
      </w:rPr>
    </w:lvl>
    <w:lvl w:ilvl="3" w:tplc="4330FCF8">
      <w:numFmt w:val="bullet"/>
      <w:lvlText w:val="•"/>
      <w:lvlJc w:val="left"/>
      <w:pPr>
        <w:ind w:left="2745" w:hanging="240"/>
      </w:pPr>
      <w:rPr>
        <w:rFonts w:hint="default"/>
        <w:lang w:val="en-US" w:eastAsia="en-US" w:bidi="ar-SA"/>
      </w:rPr>
    </w:lvl>
    <w:lvl w:ilvl="4" w:tplc="4F12F876">
      <w:numFmt w:val="bullet"/>
      <w:lvlText w:val="•"/>
      <w:lvlJc w:val="left"/>
      <w:pPr>
        <w:ind w:left="3768" w:hanging="240"/>
      </w:pPr>
      <w:rPr>
        <w:rFonts w:hint="default"/>
        <w:lang w:val="en-US" w:eastAsia="en-US" w:bidi="ar-SA"/>
      </w:rPr>
    </w:lvl>
    <w:lvl w:ilvl="5" w:tplc="5942BABE">
      <w:numFmt w:val="bullet"/>
      <w:lvlText w:val="•"/>
      <w:lvlJc w:val="left"/>
      <w:pPr>
        <w:ind w:left="4791" w:hanging="240"/>
      </w:pPr>
      <w:rPr>
        <w:rFonts w:hint="default"/>
        <w:lang w:val="en-US" w:eastAsia="en-US" w:bidi="ar-SA"/>
      </w:rPr>
    </w:lvl>
    <w:lvl w:ilvl="6" w:tplc="A8ECD662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7" w:tplc="F7DA17E2">
      <w:numFmt w:val="bullet"/>
      <w:lvlText w:val="•"/>
      <w:lvlJc w:val="left"/>
      <w:pPr>
        <w:ind w:left="6837" w:hanging="240"/>
      </w:pPr>
      <w:rPr>
        <w:rFonts w:hint="default"/>
        <w:lang w:val="en-US" w:eastAsia="en-US" w:bidi="ar-SA"/>
      </w:rPr>
    </w:lvl>
    <w:lvl w:ilvl="8" w:tplc="83500E82">
      <w:numFmt w:val="bullet"/>
      <w:lvlText w:val="•"/>
      <w:lvlJc w:val="left"/>
      <w:pPr>
        <w:ind w:left="7860" w:hanging="240"/>
      </w:pPr>
      <w:rPr>
        <w:rFonts w:hint="default"/>
        <w:lang w:val="en-US" w:eastAsia="en-US" w:bidi="ar-SA"/>
      </w:rPr>
    </w:lvl>
  </w:abstractNum>
  <w:num w:numId="1" w16cid:durableId="1830636676">
    <w:abstractNumId w:val="0"/>
  </w:num>
  <w:num w:numId="2" w16cid:durableId="315300431">
    <w:abstractNumId w:val="2"/>
  </w:num>
  <w:num w:numId="3" w16cid:durableId="177952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378"/>
    <w:rsid w:val="000A6378"/>
    <w:rsid w:val="00352D79"/>
    <w:rsid w:val="009A20E4"/>
    <w:rsid w:val="009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658F6F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A20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2024-10-07T10:43:00Z</dcterms:created>
  <dcterms:modified xsi:type="dcterms:W3CDTF">2024-10-09T13:34:00Z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